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center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ascii="黑体" w:hAnsi="宋体" w:eastAsia="黑体" w:cs="黑体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2024年度镇江市社科应用研究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center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长江大运河文化专项课题指南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center"/>
        <w:textAlignment w:val="top"/>
        <w:rPr>
          <w:rFonts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ascii="仿宋_GB2312" w:hAnsi="Times New Roman" w:eastAsia="仿宋_GB2312" w:cs="仿宋_GB2312"/>
          <w:b/>
          <w:bCs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一、重大课题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1.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  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习近平文化思想指导下的长江大运河人文经济研究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2.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  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长江和大运河国家文化公园建设中文化标识建设研究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3.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  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长江与大运河航运文化研究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4.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  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“京口瓜州一水间”项目建设文化内涵研究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仿宋_GB2312" w:hAnsi="Times New Roman" w:eastAsia="仿宋_GB2312" w:cs="仿宋_GB2312"/>
          <w:b/>
          <w:bCs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二、一般课题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1. 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长江与大运河文化数字化实施路径研究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2. 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沿江近代工商业发展变迁及影响力研究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3. 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长江与大运河水上救生文化建设研究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4.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“天下第一江山”的文化意蕴挖掘及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IP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形象构建研究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5.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  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数字化背景下的镇江名人文化及传承研究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6.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  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长江文化中非物质文化遗产价值及保护研究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7. 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书场文化中长江运河故事的传播与传承研究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8.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镇江古运河（下段）系统性保护研究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9.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漕运停止后长江与大运河功能变迁及文化转型研究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10.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古运河亮化工程及夜经济建设研究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11.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丹阳大运河沿线工业遗存活化利用研究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12. 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丹阳大运河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1958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文化园建设研究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13.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产业融合背景下文商旅深度融合发展研究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480" w:lineRule="atLeast"/>
        <w:ind w:left="0" w:right="0" w:firstLine="0"/>
        <w:jc w:val="left"/>
        <w:textAlignment w:val="top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14.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长江与大运河文旅基金投融资渠道和模式研究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0NmFkNjAyODQ3MjQ1ZWUzMDhjNzk2NTQxYTJjNTYifQ=="/>
  </w:docVars>
  <w:rsids>
    <w:rsidRoot w:val="00000000"/>
    <w:rsid w:val="1143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2024-03-28T01:58:24Z</dcterms:created>
  <dc:creator>NNU-ZB</dc:creator>
  <cp:lastModifiedBy>Huangchen</cp:lastModifiedBy>
  <dcterms:modified xsi:type="dcterms:W3CDTF">2024-03-28T01:59:20Z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6C12737177F349DD851CA840129C797E_12</vt:lpwstr>
  </property>
</Properties>
</file>